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396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黑体" w:hAnsi="黑体" w:eastAsia="黑体" w:cs="黑体"/>
          <w:b w:val="0"/>
          <w:bCs w:val="0"/>
          <w:color w:val="000000"/>
          <w:sz w:val="44"/>
          <w:szCs w:val="44"/>
          <w:shd w:val="clear" w:color="auto" w:fill="FFFFFF"/>
        </w:rPr>
      </w:pPr>
      <w:r>
        <w:rPr>
          <w:rFonts w:hint="eastAsia" w:ascii="黑体" w:hAnsi="黑体" w:eastAsia="黑体" w:cs="黑体"/>
          <w:b w:val="0"/>
          <w:bCs w:val="0"/>
          <w:color w:val="000000"/>
          <w:sz w:val="32"/>
          <w:szCs w:val="32"/>
          <w:shd w:val="clear" w:color="auto" w:fill="FFFFFF"/>
        </w:rPr>
        <w:t>附件1</w:t>
      </w:r>
      <w:r>
        <w:rPr>
          <w:rFonts w:hint="eastAsia" w:ascii="宋体" w:hAnsi="宋体" w:eastAsia="宋体" w:cs="宋体"/>
          <w:b w:val="0"/>
          <w:bCs w:val="0"/>
          <w:color w:val="000000"/>
          <w:sz w:val="32"/>
          <w:szCs w:val="32"/>
          <w:shd w:val="clear" w:color="auto" w:fill="FFFFFF"/>
        </w:rPr>
        <w:t> </w:t>
      </w:r>
      <w:r>
        <w:rPr>
          <w:rFonts w:hint="eastAsia" w:ascii="宋体" w:hAnsi="宋体" w:eastAsia="宋体" w:cs="宋体"/>
          <w:b/>
          <w:bCs/>
          <w:color w:val="000000"/>
          <w:sz w:val="32"/>
          <w:szCs w:val="32"/>
          <w:shd w:val="clear" w:color="auto" w:fill="FFFFFF"/>
          <w:lang w:val="en-US" w:eastAsia="zh-CN"/>
        </w:rPr>
        <w:t xml:space="preserve"> </w:t>
      </w:r>
      <w:r>
        <w:rPr>
          <w:rFonts w:hint="eastAsia" w:ascii="微软雅黑" w:hAnsi="微软雅黑" w:eastAsia="微软雅黑" w:cs="微软雅黑"/>
          <w:b/>
          <w:bCs/>
          <w:color w:val="000000"/>
          <w:sz w:val="32"/>
          <w:szCs w:val="32"/>
          <w:shd w:val="clear" w:color="auto" w:fill="FFFFFF"/>
          <w:lang w:val="en-US" w:eastAsia="zh-CN"/>
        </w:rPr>
        <w:t xml:space="preserve">      </w:t>
      </w:r>
      <w:r>
        <w:rPr>
          <w:rFonts w:hint="eastAsia" w:ascii="微软雅黑" w:hAnsi="微软雅黑" w:eastAsia="微软雅黑" w:cs="微软雅黑"/>
          <w:b/>
          <w:bCs/>
          <w:color w:val="000000"/>
          <w:sz w:val="32"/>
          <w:szCs w:val="32"/>
          <w:shd w:val="clear" w:color="auto" w:fill="FFFFFF"/>
        </w:rPr>
        <w:t>          </w:t>
      </w:r>
      <w:r>
        <w:rPr>
          <w:rFonts w:hint="eastAsia" w:ascii="黑体" w:hAnsi="黑体" w:eastAsia="黑体" w:cs="黑体"/>
          <w:b w:val="0"/>
          <w:bCs w:val="0"/>
          <w:color w:val="000000"/>
          <w:sz w:val="44"/>
          <w:szCs w:val="44"/>
          <w:shd w:val="clear" w:color="auto" w:fill="FFFFFF"/>
        </w:rPr>
        <w:t>  </w:t>
      </w:r>
    </w:p>
    <w:p w14:paraId="187113E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color w:val="000000"/>
          <w:sz w:val="44"/>
          <w:szCs w:val="44"/>
          <w:shd w:val="clear" w:color="auto" w:fill="FFFFFF"/>
        </w:rPr>
        <w:t>投 标 函</w:t>
      </w:r>
    </w:p>
    <w:p w14:paraId="64E38B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3E2EF8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安徽省水电有限责任公司：</w:t>
      </w:r>
    </w:p>
    <w:p w14:paraId="71E4E96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根据贵方“</w:t>
      </w:r>
      <w:r>
        <w:rPr>
          <w:rFonts w:hint="eastAsia" w:ascii="仿宋_GB2312" w:hAnsi="仿宋_GB2312" w:eastAsia="仿宋_GB2312" w:cs="仿宋_GB2312"/>
          <w:sz w:val="32"/>
          <w:szCs w:val="32"/>
          <w:u w:val="single"/>
        </w:rPr>
        <w:t>2025年度安徽省水电有限责任公司企业年金基金受托管理服务项目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sd01</w:t>
      </w:r>
      <w:r>
        <w:rPr>
          <w:rFonts w:hint="eastAsia" w:ascii="仿宋_GB2312" w:hAnsi="仿宋_GB2312" w:eastAsia="仿宋_GB2312" w:cs="仿宋_GB2312"/>
          <w:sz w:val="32"/>
          <w:szCs w:val="32"/>
          <w:u w:val="single"/>
        </w:rPr>
        <w:t>号</w:t>
      </w:r>
      <w:r>
        <w:rPr>
          <w:rFonts w:hint="eastAsia" w:ascii="仿宋_GB2312" w:hAnsi="仿宋_GB2312" w:eastAsia="仿宋_GB2312" w:cs="仿宋_GB2312"/>
          <w:sz w:val="32"/>
          <w:szCs w:val="32"/>
        </w:rPr>
        <w:t>）询价要求，正式授权下述签字人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（姓名）代表投标人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49649CA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rPr>
        <w:t>（投标单位全称），提交投标文件正本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p>
    <w:p w14:paraId="04EB4C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据此函，签字人兹宣布同意如下：</w:t>
      </w:r>
    </w:p>
    <w:p w14:paraId="06C70A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（1）按询价规定，我方愿意以综合管理费率（大写）：</w:t>
      </w:r>
    </w:p>
    <w:p w14:paraId="1E67CE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（精确到小数点后两位）的总价（含税），遵照询价函（含补充文件）的要求承担本项目的工作。</w:t>
      </w:r>
    </w:p>
    <w:p w14:paraId="4EEF82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（2）我方将根据该询价和投标文件的规定，严格履行所承诺责任和义务, 保证于贵方要求的日期内完成服务，并通过贵方验收。</w:t>
      </w:r>
    </w:p>
    <w:p w14:paraId="043CBB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（3）我方对投标文件中所提供资料、文件、证书及证件的真实性和有效性负责，否则造成的相关风险和后果由我方承担。</w:t>
      </w:r>
    </w:p>
    <w:p w14:paraId="34AADB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（4）我方承诺不存在询价函要求的不良信用记录。</w:t>
      </w:r>
    </w:p>
    <w:p w14:paraId="28807A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）与本投标有关的通讯地址：</w:t>
      </w:r>
      <w:r>
        <w:rPr>
          <w:rFonts w:hint="eastAsia" w:ascii="仿宋_GB2312" w:hAnsi="仿宋_GB2312" w:eastAsia="仿宋_GB2312" w:cs="仿宋_GB2312"/>
          <w:sz w:val="32"/>
          <w:szCs w:val="32"/>
          <w:u w:val="single"/>
          <w:lang w:val="en-US" w:eastAsia="zh-CN"/>
        </w:rPr>
        <w:t xml:space="preserve">                  </w:t>
      </w:r>
    </w:p>
    <w:p w14:paraId="47C15D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lang w:val="en-US" w:eastAsia="zh-CN"/>
        </w:rPr>
        <w:t xml:space="preserve">                  </w:t>
      </w:r>
    </w:p>
    <w:p w14:paraId="12066E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 权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（单位公章或业务合同专用章）</w:t>
      </w:r>
    </w:p>
    <w:p w14:paraId="0CBBB6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lang w:val="en-US" w:eastAsia="zh-CN"/>
        </w:rPr>
        <w:t xml:space="preserve">                    </w:t>
      </w:r>
    </w:p>
    <w:p w14:paraId="65AE370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shd w:val="clear" w:color="auto" w:fill="FFFFFF"/>
        </w:rPr>
        <w:t>附件2</w:t>
      </w:r>
    </w:p>
    <w:p w14:paraId="671AD09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eastAsia="宋体" w:cs="Times New Roman"/>
          <w:sz w:val="32"/>
          <w:szCs w:val="32"/>
        </w:rPr>
      </w:pPr>
      <w:r>
        <w:rPr>
          <w:rFonts w:hint="eastAsia" w:ascii="方正小标宋简体" w:hAnsi="方正小标宋简体" w:eastAsia="方正小标宋简体" w:cs="方正小标宋简体"/>
          <w:color w:val="454545"/>
          <w:sz w:val="44"/>
          <w:szCs w:val="44"/>
          <w:shd w:val="clear" w:color="auto" w:fill="FFFFFF"/>
        </w:rPr>
        <w:t>授权委托书</w:t>
      </w:r>
    </w:p>
    <w:p w14:paraId="53ADA860">
      <w:pPr>
        <w:keepNext w:val="0"/>
        <w:keepLines w:val="0"/>
        <w:pageBreakBefore w:val="0"/>
        <w:widowControl/>
        <w:kinsoku/>
        <w:wordWrap/>
        <w:overflowPunct/>
        <w:topLinePunct w:val="0"/>
        <w:autoSpaceDE/>
        <w:autoSpaceDN/>
        <w:bidi w:val="0"/>
        <w:adjustRightInd/>
        <w:snapToGrid/>
        <w:spacing w:before="225" w:line="560" w:lineRule="exact"/>
        <w:ind w:firstLine="640"/>
        <w:jc w:val="left"/>
        <w:textAlignment w:val="auto"/>
        <w:rPr>
          <w:rFonts w:eastAsia="宋体" w:cs="Times New Roman"/>
          <w:sz w:val="32"/>
          <w:szCs w:val="32"/>
        </w:rPr>
      </w:pPr>
      <w:r>
        <w:rPr>
          <w:rFonts w:hint="eastAsia" w:ascii="微软雅黑" w:hAnsi="微软雅黑" w:eastAsia="微软雅黑" w:cs="微软雅黑"/>
          <w:color w:val="454545"/>
          <w:kern w:val="0"/>
          <w:sz w:val="32"/>
          <w:szCs w:val="32"/>
          <w:shd w:val="clear" w:color="auto" w:fill="FFFFFF"/>
          <w:lang w:bidi="ar"/>
        </w:rPr>
        <w:t> </w:t>
      </w:r>
    </w:p>
    <w:p w14:paraId="48E789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本授权书申明：</w:t>
      </w:r>
    </w:p>
    <w:p w14:paraId="10F87F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(投标单位全称)的法定代表人</w:t>
      </w:r>
    </w:p>
    <w:p w14:paraId="000DE7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（法定代表人姓名）特授权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（授权代表姓名）为我方就安徽省水电有限责任公司企业年金基金受托管理服务项目投标的合法代理人，以我方名义全权处理与该项目投标有关的一切事务。</w:t>
      </w:r>
    </w:p>
    <w:p w14:paraId="667BCD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本授权书自签字并加盖公章或业务合同专用章起生效，授权书仅对本项目有效。</w:t>
      </w:r>
    </w:p>
    <w:p w14:paraId="6D939EC8">
      <w:pPr>
        <w:ind w:firstLine="640" w:firstLineChars="200"/>
        <w:rPr>
          <w:rFonts w:hint="eastAsia" w:ascii="仿宋_GB2312" w:hAnsi="仿宋_GB2312" w:eastAsia="仿宋_GB2312" w:cs="仿宋_GB2312"/>
          <w:sz w:val="32"/>
          <w:szCs w:val="32"/>
        </w:rPr>
      </w:pPr>
    </w:p>
    <w:p w14:paraId="242498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投标人（公章或业务合同专用章）：</w:t>
      </w:r>
    </w:p>
    <w:p w14:paraId="310B4F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2E232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5D91FF86">
      <w:pPr>
        <w:rPr>
          <w:rFonts w:hint="eastAsia" w:ascii="仿宋_GB2312" w:hAnsi="仿宋_GB2312" w:eastAsia="仿宋_GB2312" w:cs="仿宋_GB2312"/>
          <w:sz w:val="32"/>
          <w:szCs w:val="32"/>
        </w:rPr>
      </w:pPr>
    </w:p>
    <w:p w14:paraId="6078FC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2C62BD0B">
      <w:pPr>
        <w:rPr>
          <w:rFonts w:hint="eastAsia" w:ascii="仿宋_GB2312" w:hAnsi="仿宋_GB2312" w:eastAsia="仿宋_GB2312" w:cs="仿宋_GB2312"/>
          <w:sz w:val="32"/>
          <w:szCs w:val="32"/>
        </w:rPr>
      </w:pPr>
    </w:p>
    <w:p w14:paraId="43B8A5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7A80503C">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sectPr>
          <w:footerReference r:id="rId3" w:type="default"/>
          <w:pgSz w:w="11906" w:h="16838"/>
          <w:pgMar w:top="2098" w:right="1531" w:bottom="1984" w:left="1587" w:header="851" w:footer="992" w:gutter="0"/>
          <w:cols w:space="720" w:num="1"/>
          <w:docGrid w:type="lines" w:linePitch="312" w:charSpace="0"/>
        </w:sectPr>
      </w:pPr>
    </w:p>
    <w:p w14:paraId="3B6461E7">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77EDDDE5">
      <w:pPr>
        <w:pStyle w:val="2"/>
        <w:widowControl/>
        <w:spacing w:before="0" w:beforeAutospacing="0" w:after="0" w:afterAutospacing="0" w:line="580" w:lineRule="atLeast"/>
        <w:rPr>
          <w:rFonts w:hint="eastAsia" w:ascii="微软雅黑" w:hAnsi="微软雅黑" w:eastAsia="微软雅黑" w:cs="微软雅黑"/>
          <w:b/>
          <w:bCs/>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rPr>
        <w:t>附件3 </w:t>
      </w:r>
      <w:r>
        <w:rPr>
          <w:rFonts w:hint="eastAsia" w:ascii="微软雅黑" w:hAnsi="微软雅黑" w:eastAsia="微软雅黑" w:cs="微软雅黑"/>
          <w:b w:val="0"/>
          <w:bCs w:val="0"/>
          <w:color w:val="000000"/>
          <w:sz w:val="32"/>
          <w:szCs w:val="32"/>
          <w:shd w:val="clear" w:color="auto" w:fill="FFFFFF"/>
        </w:rPr>
        <w:t>    </w:t>
      </w:r>
      <w:r>
        <w:rPr>
          <w:rFonts w:hint="eastAsia" w:ascii="微软雅黑" w:hAnsi="微软雅黑" w:eastAsia="微软雅黑" w:cs="微软雅黑"/>
          <w:b/>
          <w:bCs/>
          <w:color w:val="000000"/>
          <w:sz w:val="32"/>
          <w:szCs w:val="32"/>
          <w:shd w:val="clear" w:color="auto" w:fill="FFFFFF"/>
        </w:rPr>
        <w:t> </w:t>
      </w:r>
      <w:r>
        <w:rPr>
          <w:rFonts w:hint="eastAsia" w:ascii="微软雅黑" w:hAnsi="微软雅黑" w:eastAsia="微软雅黑" w:cs="微软雅黑"/>
          <w:b/>
          <w:bCs/>
          <w:color w:val="000000"/>
          <w:sz w:val="32"/>
          <w:szCs w:val="32"/>
          <w:shd w:val="clear" w:color="auto" w:fill="FFFFFF"/>
          <w:lang w:val="en-US" w:eastAsia="zh-CN"/>
        </w:rPr>
        <w:t xml:space="preserve">    </w:t>
      </w:r>
    </w:p>
    <w:p w14:paraId="397BC391">
      <w:pPr>
        <w:pStyle w:val="2"/>
        <w:widowControl/>
        <w:spacing w:before="0" w:beforeAutospacing="0" w:after="0" w:afterAutospacing="0" w:line="580" w:lineRule="atLeast"/>
        <w:jc w:val="center"/>
        <w:rPr>
          <w:rFonts w:eastAsia="宋体" w:cs="Times New Roman"/>
        </w:rPr>
      </w:pPr>
      <w:r>
        <w:rPr>
          <w:rFonts w:hint="eastAsia" w:ascii="微软雅黑" w:hAnsi="微软雅黑" w:eastAsia="微软雅黑" w:cs="微软雅黑"/>
          <w:color w:val="000000"/>
          <w:sz w:val="44"/>
          <w:szCs w:val="44"/>
          <w:shd w:val="clear" w:color="auto" w:fill="FFFFFF"/>
        </w:rPr>
        <w:t>综合评分法评分标准</w:t>
      </w:r>
    </w:p>
    <w:tbl>
      <w:tblPr>
        <w:tblStyle w:val="3"/>
        <w:tblW w:w="10161" w:type="dxa"/>
        <w:jc w:val="center"/>
        <w:tblLayout w:type="autofit"/>
        <w:tblCellMar>
          <w:top w:w="0" w:type="dxa"/>
          <w:left w:w="0" w:type="dxa"/>
          <w:bottom w:w="0" w:type="dxa"/>
          <w:right w:w="0" w:type="dxa"/>
        </w:tblCellMar>
      </w:tblPr>
      <w:tblGrid>
        <w:gridCol w:w="1136"/>
        <w:gridCol w:w="1120"/>
        <w:gridCol w:w="7905"/>
      </w:tblGrid>
      <w:tr w14:paraId="2B7A051F">
        <w:tblPrEx>
          <w:tblCellMar>
            <w:top w:w="0" w:type="dxa"/>
            <w:left w:w="0" w:type="dxa"/>
            <w:bottom w:w="0" w:type="dxa"/>
            <w:right w:w="0" w:type="dxa"/>
          </w:tblCellMar>
        </w:tblPrEx>
        <w:trPr>
          <w:cantSplit/>
          <w:trHeight w:val="462" w:hRule="atLeast"/>
          <w:jc w:val="center"/>
        </w:trPr>
        <w:tc>
          <w:tcPr>
            <w:tcW w:w="1136" w:type="dxa"/>
            <w:tcBorders>
              <w:top w:val="single" w:color="000000" w:sz="8" w:space="0"/>
              <w:left w:val="single" w:color="000000" w:sz="8" w:space="0"/>
              <w:bottom w:val="single" w:color="auto" w:sz="8" w:space="0"/>
              <w:right w:val="single" w:color="000000" w:sz="8" w:space="0"/>
            </w:tcBorders>
            <w:noWrap/>
            <w:tcMar>
              <w:left w:w="108" w:type="dxa"/>
              <w:right w:w="108" w:type="dxa"/>
            </w:tcMar>
            <w:vAlign w:val="center"/>
          </w:tcPr>
          <w:p w14:paraId="1678697C">
            <w:pPr>
              <w:widowControl/>
              <w:spacing w:before="225" w:line="240" w:lineRule="atLeast"/>
              <w:jc w:val="center"/>
              <w:textAlignment w:val="center"/>
              <w:rPr>
                <w:rFonts w:eastAsia="宋体" w:cs="Times New Roman"/>
              </w:rPr>
            </w:pPr>
            <w:r>
              <w:rPr>
                <w:rFonts w:ascii="仿宋_GB2312" w:eastAsia="仿宋_GB2312" w:cs="仿宋_GB2312"/>
                <w:b/>
                <w:bCs/>
                <w:color w:val="000000"/>
                <w:kern w:val="0"/>
                <w:sz w:val="24"/>
                <w:lang w:bidi="ar"/>
              </w:rPr>
              <w:t>类别</w:t>
            </w:r>
          </w:p>
        </w:tc>
        <w:tc>
          <w:tcPr>
            <w:tcW w:w="1120" w:type="dxa"/>
            <w:tcBorders>
              <w:top w:val="single" w:color="000000" w:sz="8" w:space="0"/>
              <w:left w:val="nil"/>
              <w:bottom w:val="single" w:color="auto" w:sz="8" w:space="0"/>
              <w:right w:val="single" w:color="000000" w:sz="8" w:space="0"/>
            </w:tcBorders>
            <w:noWrap w:val="0"/>
            <w:tcMar>
              <w:left w:w="108" w:type="dxa"/>
              <w:right w:w="108" w:type="dxa"/>
            </w:tcMar>
            <w:vAlign w:val="center"/>
          </w:tcPr>
          <w:p w14:paraId="416E6E38">
            <w:pPr>
              <w:widowControl/>
              <w:spacing w:before="225" w:line="240" w:lineRule="atLeast"/>
              <w:jc w:val="center"/>
              <w:textAlignment w:val="center"/>
              <w:rPr>
                <w:rFonts w:eastAsia="宋体" w:cs="Times New Roman"/>
              </w:rPr>
            </w:pPr>
            <w:r>
              <w:rPr>
                <w:rFonts w:hint="eastAsia" w:ascii="仿宋_GB2312" w:eastAsia="仿宋_GB2312" w:cs="仿宋_GB2312"/>
                <w:b/>
                <w:bCs/>
                <w:color w:val="000000"/>
                <w:kern w:val="0"/>
                <w:sz w:val="24"/>
                <w:lang w:bidi="ar"/>
              </w:rPr>
              <w:t>内容</w:t>
            </w:r>
          </w:p>
        </w:tc>
        <w:tc>
          <w:tcPr>
            <w:tcW w:w="7905" w:type="dxa"/>
            <w:tcBorders>
              <w:top w:val="single" w:color="000000" w:sz="8" w:space="0"/>
              <w:left w:val="nil"/>
              <w:bottom w:val="single" w:color="auto" w:sz="8" w:space="0"/>
              <w:right w:val="single" w:color="000000" w:sz="8" w:space="0"/>
            </w:tcBorders>
            <w:noWrap/>
            <w:tcMar>
              <w:left w:w="108" w:type="dxa"/>
              <w:right w:w="108" w:type="dxa"/>
            </w:tcMar>
            <w:vAlign w:val="center"/>
          </w:tcPr>
          <w:p w14:paraId="552268C5">
            <w:pPr>
              <w:widowControl/>
              <w:spacing w:before="225" w:line="240" w:lineRule="atLeast"/>
              <w:jc w:val="center"/>
              <w:textAlignment w:val="center"/>
              <w:rPr>
                <w:rFonts w:eastAsia="宋体" w:cs="Times New Roman"/>
              </w:rPr>
            </w:pPr>
            <w:r>
              <w:rPr>
                <w:rFonts w:hint="eastAsia" w:ascii="仿宋_GB2312" w:eastAsia="仿宋_GB2312" w:cs="仿宋_GB2312"/>
                <w:b/>
                <w:bCs/>
                <w:color w:val="000000"/>
                <w:kern w:val="0"/>
                <w:sz w:val="24"/>
                <w:lang w:bidi="ar"/>
              </w:rPr>
              <w:t>评分细则</w:t>
            </w:r>
          </w:p>
        </w:tc>
      </w:tr>
      <w:tr w14:paraId="5373E4CF">
        <w:tblPrEx>
          <w:tblCellMar>
            <w:top w:w="0" w:type="dxa"/>
            <w:left w:w="0" w:type="dxa"/>
            <w:bottom w:w="0" w:type="dxa"/>
            <w:right w:w="0" w:type="dxa"/>
          </w:tblCellMar>
        </w:tblPrEx>
        <w:trPr>
          <w:cantSplit/>
          <w:trHeight w:val="5239" w:hRule="atLeast"/>
          <w:jc w:val="center"/>
        </w:trPr>
        <w:tc>
          <w:tcPr>
            <w:tcW w:w="1136" w:type="dxa"/>
            <w:vMerge w:val="restart"/>
            <w:tcBorders>
              <w:top w:val="nil"/>
              <w:left w:val="single" w:color="000000" w:sz="8" w:space="0"/>
              <w:bottom w:val="single" w:color="000000" w:sz="8" w:space="0"/>
              <w:right w:val="single" w:color="000000" w:sz="8" w:space="0"/>
            </w:tcBorders>
            <w:shd w:val="clear" w:color="auto" w:fill="auto"/>
            <w:noWrap w:val="0"/>
            <w:tcMar>
              <w:left w:w="108" w:type="dxa"/>
              <w:right w:w="108" w:type="dxa"/>
            </w:tcMar>
            <w:vAlign w:val="center"/>
          </w:tcPr>
          <w:p w14:paraId="152FAF58">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综合</w:t>
            </w:r>
          </w:p>
          <w:p w14:paraId="1EC88C27">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实力</w:t>
            </w:r>
          </w:p>
          <w:p w14:paraId="5214CFB3">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w:t>
            </w:r>
            <w:r>
              <w:rPr>
                <w:rFonts w:eastAsia="宋体" w:cs="Calibri"/>
                <w:color w:val="000000"/>
                <w:kern w:val="0"/>
                <w:sz w:val="24"/>
                <w:lang w:bidi="ar"/>
              </w:rPr>
              <w:t>10</w:t>
            </w:r>
            <w:r>
              <w:rPr>
                <w:rFonts w:hint="eastAsia" w:ascii="仿宋_GB2312" w:eastAsia="仿宋_GB2312" w:cs="仿宋_GB2312"/>
                <w:color w:val="000000"/>
                <w:kern w:val="0"/>
                <w:sz w:val="24"/>
                <w:lang w:bidi="ar"/>
              </w:rPr>
              <w:t>分）</w:t>
            </w:r>
          </w:p>
        </w:tc>
        <w:tc>
          <w:tcPr>
            <w:tcW w:w="1120" w:type="dxa"/>
            <w:tcBorders>
              <w:top w:val="nil"/>
              <w:left w:val="nil"/>
              <w:bottom w:val="single" w:color="000000" w:sz="8" w:space="0"/>
              <w:right w:val="single" w:color="000000" w:sz="8" w:space="0"/>
            </w:tcBorders>
            <w:shd w:val="clear" w:color="auto" w:fill="auto"/>
            <w:noWrap w:val="0"/>
            <w:tcMar>
              <w:left w:w="108" w:type="dxa"/>
              <w:right w:w="108" w:type="dxa"/>
            </w:tcMar>
            <w:vAlign w:val="center"/>
          </w:tcPr>
          <w:p w14:paraId="5BA542CF">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企业</w:t>
            </w:r>
          </w:p>
          <w:p w14:paraId="636B713C">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盈利</w:t>
            </w:r>
          </w:p>
          <w:p w14:paraId="26C32864">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能力</w:t>
            </w:r>
          </w:p>
          <w:p w14:paraId="20B07F3B">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（5分）</w:t>
            </w:r>
          </w:p>
        </w:tc>
        <w:tc>
          <w:tcPr>
            <w:tcW w:w="7905"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14:paraId="5F9D4B2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根据投标人近5年（20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）的盈利状况进行评分：        </w:t>
            </w:r>
          </w:p>
          <w:p w14:paraId="15F3103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1.连续 5 年盈利的，得 5 分；</w:t>
            </w:r>
          </w:p>
          <w:p w14:paraId="310A768C">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2.存在任意 4 年实现盈利的，得 4 分；</w:t>
            </w:r>
          </w:p>
          <w:p w14:paraId="16D7E1C7">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3.存在任意 3 年实现盈利的，得 3 分；</w:t>
            </w:r>
          </w:p>
          <w:p w14:paraId="48268FBC">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4.存在任意 2 年实现盈利的，得 2 分；</w:t>
            </w:r>
          </w:p>
          <w:p w14:paraId="5E233A62">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5.存在任意 1 年实现盈利的，得 1 分；</w:t>
            </w:r>
          </w:p>
          <w:p w14:paraId="3C1A9E1B">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6.无任意1年实现盈利的，得0分，不累计得分。</w:t>
            </w:r>
          </w:p>
          <w:p w14:paraId="43FC9FEA">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注：需提供20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年度经会计师事务所出具的审计报告正文及利润表扫描件。盈利指利润表中净利润为正数。</w:t>
            </w:r>
          </w:p>
        </w:tc>
      </w:tr>
      <w:tr w14:paraId="3018D650">
        <w:tblPrEx>
          <w:tblCellMar>
            <w:top w:w="0" w:type="dxa"/>
            <w:left w:w="0" w:type="dxa"/>
            <w:bottom w:w="0" w:type="dxa"/>
            <w:right w:w="0" w:type="dxa"/>
          </w:tblCellMar>
        </w:tblPrEx>
        <w:trPr>
          <w:cantSplit/>
          <w:trHeight w:val="6292" w:hRule="atLeast"/>
          <w:jc w:val="center"/>
        </w:trPr>
        <w:tc>
          <w:tcPr>
            <w:tcW w:w="1136"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14:paraId="7D4481F5">
            <w:pPr>
              <w:rPr>
                <w:rFonts w:hint="eastAsia" w:ascii="宋体" w:eastAsia="宋体" w:cs="Times New Roman"/>
                <w:sz w:val="24"/>
              </w:rPr>
            </w:pPr>
          </w:p>
        </w:tc>
        <w:tc>
          <w:tcPr>
            <w:tcW w:w="1120" w:type="dxa"/>
            <w:tcBorders>
              <w:top w:val="nil"/>
              <w:left w:val="nil"/>
              <w:bottom w:val="single" w:color="000000" w:sz="8" w:space="0"/>
              <w:right w:val="single" w:color="000000" w:sz="8" w:space="0"/>
            </w:tcBorders>
            <w:noWrap w:val="0"/>
            <w:tcMar>
              <w:left w:w="108" w:type="dxa"/>
              <w:right w:w="108" w:type="dxa"/>
            </w:tcMar>
            <w:vAlign w:val="center"/>
          </w:tcPr>
          <w:p w14:paraId="2A276725">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受托</w:t>
            </w:r>
          </w:p>
          <w:p w14:paraId="136803DC">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管理</w:t>
            </w:r>
          </w:p>
          <w:p w14:paraId="67D00837">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规模</w:t>
            </w:r>
          </w:p>
          <w:p w14:paraId="421EE6F2">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w:t>
            </w:r>
            <w:r>
              <w:rPr>
                <w:rFonts w:eastAsia="宋体" w:cs="Calibri"/>
                <w:color w:val="000000"/>
                <w:kern w:val="0"/>
                <w:sz w:val="24"/>
                <w:lang w:bidi="ar"/>
              </w:rPr>
              <w:t>5</w:t>
            </w:r>
            <w:r>
              <w:rPr>
                <w:rFonts w:hint="eastAsia" w:ascii="仿宋_GB2312" w:eastAsia="仿宋_GB2312" w:cs="仿宋_GB2312"/>
                <w:color w:val="000000"/>
                <w:kern w:val="0"/>
                <w:sz w:val="24"/>
                <w:lang w:bidi="ar"/>
              </w:rPr>
              <w:t>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3D6436AF">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根据投标人企业年金受托管理资产规模进行评分：</w:t>
            </w:r>
          </w:p>
          <w:p w14:paraId="101B9D66">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按照投标人规模大小排名，排名第一得5分，每下降一个名次递减0.5分，最低得0分。</w:t>
            </w:r>
          </w:p>
          <w:p w14:paraId="42FB4719">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注：提供人社部《202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年全国企业年金基金业务数据摘要》中“表1.202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年全国企业年金基金法人受托管理情况”截图</w:t>
            </w:r>
            <w:r>
              <w:rPr>
                <w:rFonts w:hint="eastAsia" w:ascii="宋体" w:hAnsi="宋体" w:eastAsia="宋体" w:cs="宋体"/>
                <w:color w:val="000000"/>
                <w:kern w:val="0"/>
                <w:sz w:val="24"/>
                <w:lang w:bidi="ar"/>
              </w:rPr>
              <w:t>，</w:t>
            </w:r>
            <w:r>
              <w:rPr>
                <w:rFonts w:hint="eastAsia" w:ascii="仿宋_GB2312" w:eastAsia="仿宋_GB2312" w:cs="仿宋_GB2312"/>
                <w:color w:val="000000"/>
                <w:kern w:val="0"/>
                <w:sz w:val="24"/>
                <w:lang w:bidi="ar"/>
              </w:rPr>
              <w:t>统计数据截止时间为202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年12月31日。</w:t>
            </w:r>
          </w:p>
        </w:tc>
      </w:tr>
      <w:tr w14:paraId="715E41F2">
        <w:tblPrEx>
          <w:tblCellMar>
            <w:top w:w="0" w:type="dxa"/>
            <w:left w:w="0" w:type="dxa"/>
            <w:bottom w:w="0" w:type="dxa"/>
            <w:right w:w="0" w:type="dxa"/>
          </w:tblCellMar>
        </w:tblPrEx>
        <w:trPr>
          <w:cantSplit/>
          <w:trHeight w:val="4174" w:hRule="atLeast"/>
          <w:jc w:val="center"/>
        </w:trPr>
        <w:tc>
          <w:tcPr>
            <w:tcW w:w="1136" w:type="dxa"/>
            <w:vMerge w:val="restart"/>
            <w:tcBorders>
              <w:top w:val="nil"/>
              <w:left w:val="single" w:color="000000" w:sz="8" w:space="0"/>
              <w:bottom w:val="nil"/>
              <w:right w:val="single" w:color="000000" w:sz="8" w:space="0"/>
            </w:tcBorders>
            <w:noWrap w:val="0"/>
            <w:tcMar>
              <w:left w:w="108" w:type="dxa"/>
              <w:right w:w="108" w:type="dxa"/>
            </w:tcMar>
            <w:vAlign w:val="center"/>
          </w:tcPr>
          <w:p w14:paraId="46473B78">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业绩</w:t>
            </w:r>
          </w:p>
          <w:p w14:paraId="155EE512">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表现</w:t>
            </w:r>
          </w:p>
          <w:p w14:paraId="2F1E7522">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（35分）</w:t>
            </w:r>
          </w:p>
        </w:tc>
        <w:tc>
          <w:tcPr>
            <w:tcW w:w="1120" w:type="dxa"/>
            <w:vMerge w:val="restart"/>
            <w:tcBorders>
              <w:top w:val="nil"/>
              <w:left w:val="nil"/>
              <w:bottom w:val="nil"/>
              <w:right w:val="single" w:color="000000" w:sz="8" w:space="0"/>
            </w:tcBorders>
            <w:noWrap w:val="0"/>
            <w:tcMar>
              <w:left w:w="108" w:type="dxa"/>
              <w:right w:w="108" w:type="dxa"/>
            </w:tcMar>
            <w:vAlign w:val="center"/>
          </w:tcPr>
          <w:p w14:paraId="1731F989">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投资</w:t>
            </w:r>
          </w:p>
          <w:p w14:paraId="1F848DC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收益</w:t>
            </w:r>
          </w:p>
          <w:p w14:paraId="3844A1E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情况</w:t>
            </w:r>
          </w:p>
          <w:p w14:paraId="21E370FC">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（20分）</w:t>
            </w:r>
          </w:p>
        </w:tc>
        <w:tc>
          <w:tcPr>
            <w:tcW w:w="7905" w:type="dxa"/>
            <w:tcBorders>
              <w:top w:val="nil"/>
              <w:left w:val="nil"/>
              <w:bottom w:val="single" w:color="auto" w:sz="8" w:space="0"/>
              <w:right w:val="single" w:color="000000" w:sz="8" w:space="0"/>
            </w:tcBorders>
            <w:noWrap w:val="0"/>
            <w:tcMar>
              <w:left w:w="108" w:type="dxa"/>
              <w:right w:w="108" w:type="dxa"/>
            </w:tcMar>
            <w:vAlign w:val="center"/>
          </w:tcPr>
          <w:p w14:paraId="169812EE">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按照投标人近5年（20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），受托管理的集合计划固定收益类组合平均收益率进行评分：按照从高到低的排名，最高得15分，依次递减1分，最低得0分。</w:t>
            </w:r>
          </w:p>
          <w:p w14:paraId="3E0E7801">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注：1.投标人提供计算后的平均收益率数据，同时提供各年度投标人官网公布的“固定收益类组合”收益率截图。计算范围包括受托人当年已运作所有集合计划的固定收益类组合。计算方法：平均收益率=历年收益率之和/5，计算结果保留小数点后两位；</w:t>
            </w:r>
          </w:p>
          <w:p w14:paraId="636F8168">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2.若集合计划成立运作时间在20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年以后的，以实际年份计算平均收益率。</w:t>
            </w:r>
          </w:p>
          <w:p w14:paraId="5F82BF5E">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3.提供的各项材料需加盖投标人公章或业务合同专用章。</w:t>
            </w:r>
          </w:p>
        </w:tc>
      </w:tr>
      <w:tr w14:paraId="557A80E4">
        <w:tblPrEx>
          <w:tblCellMar>
            <w:top w:w="0" w:type="dxa"/>
            <w:left w:w="0" w:type="dxa"/>
            <w:bottom w:w="0" w:type="dxa"/>
            <w:right w:w="0" w:type="dxa"/>
          </w:tblCellMar>
        </w:tblPrEx>
        <w:trPr>
          <w:cantSplit/>
          <w:trHeight w:val="4548" w:hRule="atLeast"/>
          <w:jc w:val="center"/>
        </w:trPr>
        <w:tc>
          <w:tcPr>
            <w:tcW w:w="1136" w:type="dxa"/>
            <w:vMerge w:val="continue"/>
            <w:tcBorders>
              <w:top w:val="nil"/>
              <w:left w:val="single" w:color="000000" w:sz="8" w:space="0"/>
              <w:bottom w:val="nil"/>
              <w:right w:val="single" w:color="000000" w:sz="8" w:space="0"/>
            </w:tcBorders>
            <w:noWrap w:val="0"/>
            <w:tcMar>
              <w:left w:w="108" w:type="dxa"/>
              <w:right w:w="108" w:type="dxa"/>
            </w:tcMar>
            <w:vAlign w:val="center"/>
          </w:tcPr>
          <w:p w14:paraId="153857A3">
            <w:pPr>
              <w:rPr>
                <w:rFonts w:hint="eastAsia" w:ascii="宋体" w:eastAsia="宋体" w:cs="Times New Roman"/>
                <w:sz w:val="24"/>
              </w:rPr>
            </w:pPr>
          </w:p>
        </w:tc>
        <w:tc>
          <w:tcPr>
            <w:tcW w:w="1120" w:type="dxa"/>
            <w:vMerge w:val="continue"/>
            <w:tcBorders>
              <w:top w:val="nil"/>
              <w:left w:val="nil"/>
              <w:bottom w:val="nil"/>
              <w:right w:val="single" w:color="000000" w:sz="8" w:space="0"/>
            </w:tcBorders>
            <w:noWrap w:val="0"/>
            <w:tcMar>
              <w:left w:w="108" w:type="dxa"/>
              <w:right w:w="108" w:type="dxa"/>
            </w:tcMar>
            <w:vAlign w:val="center"/>
          </w:tcPr>
          <w:p w14:paraId="11A465D4">
            <w:pPr>
              <w:rPr>
                <w:rFonts w:hint="eastAsia" w:ascii="宋体" w:eastAsia="宋体" w:cs="Times New Roman"/>
                <w:sz w:val="24"/>
              </w:rPr>
            </w:pP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64E647F8">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按照投标人近5年（20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），受托管理的集合计划含权益类组合平均收益率的平均数进行评分：按照从高到低的排名，最高得5分，依次递减0.5分，最低得0分。</w:t>
            </w:r>
          </w:p>
          <w:p w14:paraId="0B3BF329">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注：1.投标人提供计算后的平均收益率数据，同时提供各年度投标人官网公布的“含权益类组合”收益率截图。计算范围包括受托人当年已运作所有集合计划的含权益类组合。计算方法：平均收益率=历年收益率之和/5，计算结果保留小数点后两位；</w:t>
            </w:r>
          </w:p>
          <w:p w14:paraId="204E723E">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2.若集合计划成立运作时间在20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年以后的，以实际年份计算平均收益率。</w:t>
            </w:r>
          </w:p>
          <w:p w14:paraId="142D2E28">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3.提供的各项材料需加盖投标人公章或业务合同专用章。</w:t>
            </w:r>
          </w:p>
        </w:tc>
      </w:tr>
      <w:tr w14:paraId="75DB1AB9">
        <w:tblPrEx>
          <w:tblCellMar>
            <w:top w:w="0" w:type="dxa"/>
            <w:left w:w="0" w:type="dxa"/>
            <w:bottom w:w="0" w:type="dxa"/>
            <w:right w:w="0" w:type="dxa"/>
          </w:tblCellMar>
        </w:tblPrEx>
        <w:trPr>
          <w:cantSplit/>
          <w:trHeight w:val="3810" w:hRule="atLeast"/>
          <w:jc w:val="center"/>
        </w:trPr>
        <w:tc>
          <w:tcPr>
            <w:tcW w:w="1136" w:type="dxa"/>
            <w:vMerge w:val="continue"/>
            <w:tcBorders>
              <w:top w:val="nil"/>
              <w:left w:val="single" w:color="000000" w:sz="8" w:space="0"/>
              <w:bottom w:val="nil"/>
              <w:right w:val="single" w:color="000000" w:sz="8" w:space="0"/>
            </w:tcBorders>
            <w:noWrap w:val="0"/>
            <w:tcMar>
              <w:left w:w="108" w:type="dxa"/>
              <w:right w:w="108" w:type="dxa"/>
            </w:tcMar>
            <w:vAlign w:val="center"/>
          </w:tcPr>
          <w:p w14:paraId="22FE430B">
            <w:pPr>
              <w:rPr>
                <w:rFonts w:hint="eastAsia" w:ascii="宋体" w:eastAsia="宋体" w:cs="Times New Roman"/>
                <w:sz w:val="24"/>
              </w:rPr>
            </w:pPr>
          </w:p>
        </w:tc>
        <w:tc>
          <w:tcPr>
            <w:tcW w:w="1120" w:type="dxa"/>
            <w:tcBorders>
              <w:top w:val="nil"/>
              <w:left w:val="nil"/>
              <w:bottom w:val="single" w:color="000000" w:sz="8" w:space="0"/>
              <w:right w:val="single" w:color="000000" w:sz="8" w:space="0"/>
            </w:tcBorders>
            <w:noWrap w:val="0"/>
            <w:tcMar>
              <w:left w:w="108" w:type="dxa"/>
              <w:right w:w="108" w:type="dxa"/>
            </w:tcMar>
            <w:vAlign w:val="center"/>
          </w:tcPr>
          <w:p w14:paraId="15C364BF">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行业</w:t>
            </w:r>
          </w:p>
          <w:p w14:paraId="25C49B39">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基准</w:t>
            </w:r>
          </w:p>
          <w:p w14:paraId="4490968A">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业绩</w:t>
            </w:r>
          </w:p>
          <w:p w14:paraId="143863CF">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比较</w:t>
            </w:r>
          </w:p>
          <w:p w14:paraId="51180217">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（15分）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493BF249">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按照投标人近5年（20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），受托管理的集合计划固定收益类组合当年度平均收益率超越市场基准次数进行评分：按照从高到低的排名，最高得15分，依次递减1分，最低得0分。</w:t>
            </w:r>
          </w:p>
          <w:p w14:paraId="26C5C11B">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 注：1.投标人提供近5年（20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）投标人官网公布的“集合计划固定收益类组合”收益率截图，同时提供近5年（20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）《全国企业年金基金业务数据摘要》“全国企业年金基金投资收益率情况表”截图。</w:t>
            </w:r>
          </w:p>
          <w:p w14:paraId="5FA5C83F">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2.若集合计划成立运作时间在20</w:t>
            </w:r>
            <w:r>
              <w:rPr>
                <w:rFonts w:hint="eastAsia" w:ascii="仿宋_GB2312" w:eastAsia="仿宋_GB2312" w:cs="仿宋_GB2312"/>
                <w:color w:val="000000"/>
                <w:kern w:val="0"/>
                <w:sz w:val="24"/>
                <w:lang w:val="en-US" w:eastAsia="zh-CN" w:bidi="ar"/>
              </w:rPr>
              <w:t>20</w:t>
            </w:r>
            <w:r>
              <w:rPr>
                <w:rFonts w:hint="eastAsia" w:ascii="仿宋_GB2312" w:eastAsia="仿宋_GB2312" w:cs="仿宋_GB2312"/>
                <w:color w:val="000000"/>
                <w:kern w:val="0"/>
                <w:sz w:val="24"/>
                <w:lang w:bidi="ar"/>
              </w:rPr>
              <w:t>年以后的，以实际年份计算次数。</w:t>
            </w:r>
          </w:p>
          <w:p w14:paraId="62DAE92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3.提供的各项材料需加盖投标人公章或业务合同专用章。</w:t>
            </w:r>
          </w:p>
        </w:tc>
      </w:tr>
      <w:tr w14:paraId="2D65A300">
        <w:tblPrEx>
          <w:tblCellMar>
            <w:top w:w="0" w:type="dxa"/>
            <w:left w:w="0" w:type="dxa"/>
            <w:bottom w:w="0" w:type="dxa"/>
            <w:right w:w="0" w:type="dxa"/>
          </w:tblCellMar>
        </w:tblPrEx>
        <w:trPr>
          <w:cantSplit/>
          <w:trHeight w:val="6544" w:hRule="atLeast"/>
          <w:jc w:val="center"/>
        </w:trPr>
        <w:tc>
          <w:tcPr>
            <w:tcW w:w="1136" w:type="dxa"/>
            <w:vMerge w:val="restart"/>
            <w:tcBorders>
              <w:top w:val="nil"/>
              <w:left w:val="single" w:color="000000" w:sz="8" w:space="0"/>
              <w:bottom w:val="single" w:color="auto" w:sz="8" w:space="0"/>
              <w:right w:val="single" w:color="000000" w:sz="8" w:space="0"/>
            </w:tcBorders>
            <w:noWrap w:val="0"/>
            <w:tcMar>
              <w:left w:w="108" w:type="dxa"/>
              <w:right w:w="108" w:type="dxa"/>
            </w:tcMar>
            <w:vAlign w:val="center"/>
          </w:tcPr>
          <w:p w14:paraId="5B4B1496">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风险</w:t>
            </w:r>
          </w:p>
          <w:p w14:paraId="6CB427C3">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控制</w:t>
            </w:r>
          </w:p>
          <w:p w14:paraId="124F2A11">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能力</w:t>
            </w:r>
          </w:p>
          <w:p w14:paraId="084017C6">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（15分）</w:t>
            </w:r>
          </w:p>
        </w:tc>
        <w:tc>
          <w:tcPr>
            <w:tcW w:w="1120" w:type="dxa"/>
            <w:tcBorders>
              <w:top w:val="nil"/>
              <w:left w:val="nil"/>
              <w:bottom w:val="single" w:color="auto" w:sz="8" w:space="0"/>
              <w:right w:val="single" w:color="000000" w:sz="8" w:space="0"/>
            </w:tcBorders>
            <w:noWrap w:val="0"/>
            <w:tcMar>
              <w:left w:w="108" w:type="dxa"/>
              <w:right w:w="108" w:type="dxa"/>
            </w:tcMar>
            <w:vAlign w:val="center"/>
          </w:tcPr>
          <w:p w14:paraId="0540854A">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风险</w:t>
            </w:r>
          </w:p>
          <w:p w14:paraId="59B58DC7">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控制</w:t>
            </w:r>
          </w:p>
          <w:p w14:paraId="2EEABDDB">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体系</w:t>
            </w:r>
          </w:p>
          <w:p w14:paraId="19E5E894">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（10分）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393E56B3">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根据投标人风险控制体系的建立、人员配备以及工作开展情况等进行评分：</w:t>
            </w:r>
          </w:p>
          <w:p w14:paraId="033F80F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1.建立了层级清晰、职能明确的风控架构和体系；</w:t>
            </w:r>
          </w:p>
          <w:p w14:paraId="7E77A749">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2.具有独立的风险控制部门及专业人员；</w:t>
            </w:r>
          </w:p>
          <w:p w14:paraId="54B63C8A">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3.对投资组合的市场风险状态进行监控，并能够根据市场变化进行风险动态管控；</w:t>
            </w:r>
          </w:p>
          <w:p w14:paraId="42E5F91F">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4.建立危机处理机制和纠错追偿机制，制定危机处理流程，能积极主动针对危机事件制定合理化解决方案。</w:t>
            </w:r>
          </w:p>
          <w:p w14:paraId="2889CB36">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满足以上条件，优秀的得9-10分，良好的得7-8分，一般的得5-6</w:t>
            </w:r>
            <w:r>
              <w:rPr>
                <w:rFonts w:hint="eastAsia" w:ascii="宋体" w:hAnsi="宋体" w:eastAsia="宋体" w:cs="宋体"/>
                <w:color w:val="000000"/>
                <w:kern w:val="0"/>
                <w:sz w:val="24"/>
                <w:lang w:bidi="ar"/>
              </w:rPr>
              <w:t>分。</w:t>
            </w:r>
          </w:p>
          <w:p w14:paraId="60B50E15">
            <w:pPr>
              <w:pStyle w:val="2"/>
              <w:widowControl/>
              <w:spacing w:before="0" w:beforeAutospacing="0" w:after="0" w:afterAutospacing="0" w:line="240" w:lineRule="atLeast"/>
              <w:rPr>
                <w:rFonts w:eastAsia="宋体" w:cs="Times New Roman"/>
              </w:rPr>
            </w:pPr>
          </w:p>
          <w:p w14:paraId="5E681948">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注：1.投标人总公司及安徽属地机构近3年（202</w:t>
            </w:r>
            <w:r>
              <w:rPr>
                <w:rFonts w:hint="eastAsia" w:ascii="仿宋_GB2312" w:eastAsia="仿宋_GB2312" w:cs="仿宋_GB2312"/>
                <w:color w:val="000000"/>
                <w:kern w:val="0"/>
                <w:sz w:val="24"/>
                <w:lang w:val="en-US" w:eastAsia="zh-CN" w:bidi="ar"/>
              </w:rPr>
              <w:t>2</w:t>
            </w:r>
            <w:r>
              <w:rPr>
                <w:rFonts w:hint="eastAsia" w:ascii="仿宋_GB2312" w:eastAsia="仿宋_GB2312" w:cs="仿宋_GB2312"/>
                <w:color w:val="000000"/>
                <w:kern w:val="0"/>
                <w:sz w:val="24"/>
                <w:lang w:bidi="ar"/>
              </w:rPr>
              <w:t>-202</w:t>
            </w:r>
            <w:r>
              <w:rPr>
                <w:rFonts w:hint="eastAsia" w:ascii="仿宋_GB2312" w:eastAsia="仿宋_GB2312" w:cs="仿宋_GB2312"/>
                <w:color w:val="000000"/>
                <w:kern w:val="0"/>
                <w:sz w:val="24"/>
                <w:lang w:val="en-US" w:eastAsia="zh-CN" w:bidi="ar"/>
              </w:rPr>
              <w:t>4</w:t>
            </w:r>
            <w:r>
              <w:rPr>
                <w:rFonts w:hint="eastAsia" w:ascii="仿宋_GB2312" w:eastAsia="仿宋_GB2312" w:cs="仿宋_GB2312"/>
                <w:color w:val="000000"/>
                <w:kern w:val="0"/>
                <w:sz w:val="24"/>
                <w:lang w:bidi="ar"/>
              </w:rPr>
              <w:t>）企业年金业务受到监管部门、执法部门处罚的，此项另扣2分，投标人须提供承诺书（附件4）。未提供或提供承诺书的不得分。</w:t>
            </w:r>
          </w:p>
          <w:p w14:paraId="1600ACCD">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2.投标人根据评分细则自行提供相关材料，评审委员会根据材料内容进行评分。未提供相关材料不得分。</w:t>
            </w:r>
          </w:p>
        </w:tc>
      </w:tr>
      <w:tr w14:paraId="3B4CAEA1">
        <w:tblPrEx>
          <w:tblCellMar>
            <w:top w:w="0" w:type="dxa"/>
            <w:left w:w="0" w:type="dxa"/>
            <w:bottom w:w="0" w:type="dxa"/>
            <w:right w:w="0" w:type="dxa"/>
          </w:tblCellMar>
        </w:tblPrEx>
        <w:trPr>
          <w:cantSplit/>
          <w:trHeight w:val="5809" w:hRule="atLeast"/>
          <w:jc w:val="center"/>
        </w:trPr>
        <w:tc>
          <w:tcPr>
            <w:tcW w:w="1136" w:type="dxa"/>
            <w:vMerge w:val="continue"/>
            <w:tcBorders>
              <w:top w:val="nil"/>
              <w:left w:val="single" w:color="000000" w:sz="8" w:space="0"/>
              <w:bottom w:val="single" w:color="auto" w:sz="8" w:space="0"/>
              <w:right w:val="single" w:color="000000" w:sz="8" w:space="0"/>
            </w:tcBorders>
            <w:noWrap w:val="0"/>
            <w:tcMar>
              <w:left w:w="108" w:type="dxa"/>
              <w:right w:w="108" w:type="dxa"/>
            </w:tcMar>
            <w:vAlign w:val="center"/>
          </w:tcPr>
          <w:p w14:paraId="5D958452">
            <w:pPr>
              <w:rPr>
                <w:rFonts w:hint="eastAsia" w:ascii="宋体" w:eastAsia="宋体" w:cs="Times New Roman"/>
                <w:sz w:val="24"/>
              </w:rPr>
            </w:pPr>
          </w:p>
        </w:tc>
        <w:tc>
          <w:tcPr>
            <w:tcW w:w="1120" w:type="dxa"/>
            <w:tcBorders>
              <w:top w:val="nil"/>
              <w:left w:val="nil"/>
              <w:bottom w:val="single" w:color="000000" w:sz="8" w:space="0"/>
              <w:right w:val="single" w:color="000000" w:sz="8" w:space="0"/>
            </w:tcBorders>
            <w:noWrap w:val="0"/>
            <w:tcMar>
              <w:left w:w="108" w:type="dxa"/>
              <w:right w:w="108" w:type="dxa"/>
            </w:tcMar>
            <w:vAlign w:val="center"/>
          </w:tcPr>
          <w:p w14:paraId="78B16829">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信息</w:t>
            </w:r>
          </w:p>
          <w:p w14:paraId="64C341A9">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安全</w:t>
            </w:r>
          </w:p>
          <w:p w14:paraId="5F5BA50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（5分）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760332A7">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根据投标人保密制度建设和执行情况等进行评分：</w:t>
            </w:r>
          </w:p>
          <w:p w14:paraId="02C87B76">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1.有保密制度和例行保密工作安排；</w:t>
            </w:r>
          </w:p>
          <w:p w14:paraId="6D77D8D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2.遵守信息安全的有关保密规定，信息保密风险控制严格；</w:t>
            </w:r>
          </w:p>
          <w:p w14:paraId="5008CBF3">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3.能与委托人、账户管理人、托管人数据传输实现安全、高效对接，并能做出数据泄密完全担责承诺的。</w:t>
            </w:r>
          </w:p>
          <w:p w14:paraId="588F8372">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满足以上条件，优秀的得4-5分，良好的得2-3分，一般的得0-1分。</w:t>
            </w:r>
          </w:p>
          <w:p w14:paraId="7AB1067A">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投标人根据评分细则自行提供相关材料，评审委员会根据材料内容进行评分。未提供相关材料不得分。</w:t>
            </w:r>
          </w:p>
        </w:tc>
      </w:tr>
      <w:tr w14:paraId="532AEA39">
        <w:tblPrEx>
          <w:tblCellMar>
            <w:top w:w="0" w:type="dxa"/>
            <w:left w:w="0" w:type="dxa"/>
            <w:bottom w:w="0" w:type="dxa"/>
            <w:right w:w="0" w:type="dxa"/>
          </w:tblCellMar>
        </w:tblPrEx>
        <w:trPr>
          <w:cantSplit/>
          <w:trHeight w:val="6574" w:hRule="atLeast"/>
          <w:jc w:val="center"/>
        </w:trPr>
        <w:tc>
          <w:tcPr>
            <w:tcW w:w="1136" w:type="dxa"/>
            <w:vMerge w:val="restart"/>
            <w:tcBorders>
              <w:top w:val="nil"/>
              <w:left w:val="single" w:color="000000" w:sz="8" w:space="0"/>
              <w:bottom w:val="nil"/>
              <w:right w:val="single" w:color="000000" w:sz="8" w:space="0"/>
            </w:tcBorders>
            <w:noWrap w:val="0"/>
            <w:tcMar>
              <w:left w:w="108" w:type="dxa"/>
              <w:right w:w="108" w:type="dxa"/>
            </w:tcMar>
            <w:vAlign w:val="center"/>
          </w:tcPr>
          <w:p w14:paraId="6B7B5293">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受托</w:t>
            </w:r>
          </w:p>
          <w:p w14:paraId="288CCD94">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管理</w:t>
            </w:r>
          </w:p>
          <w:p w14:paraId="1873D96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能力</w:t>
            </w:r>
          </w:p>
          <w:p w14:paraId="1A25DE01">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（10分）</w:t>
            </w:r>
          </w:p>
        </w:tc>
        <w:tc>
          <w:tcPr>
            <w:tcW w:w="1120" w:type="dxa"/>
            <w:tcBorders>
              <w:top w:val="nil"/>
              <w:left w:val="nil"/>
              <w:bottom w:val="single" w:color="000000" w:sz="8" w:space="0"/>
              <w:right w:val="single" w:color="000000" w:sz="8" w:space="0"/>
            </w:tcBorders>
            <w:noWrap w:val="0"/>
            <w:tcMar>
              <w:left w:w="108" w:type="dxa"/>
              <w:right w:w="108" w:type="dxa"/>
            </w:tcMar>
            <w:vAlign w:val="center"/>
          </w:tcPr>
          <w:p w14:paraId="52A45576">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资产</w:t>
            </w:r>
          </w:p>
          <w:p w14:paraId="6A68CC0A">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配置</w:t>
            </w:r>
          </w:p>
          <w:p w14:paraId="79453C22">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能力</w:t>
            </w:r>
          </w:p>
          <w:p w14:paraId="01B80B61">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（5分）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321F989A">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根据投标人针对招标人企业年金的战略资产配置方案，包括但不限于资产配置理念、资产配置团队、投资策略、动态调整机制等进行评分：</w:t>
            </w:r>
          </w:p>
          <w:p w14:paraId="5CF982C1">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1.具备完善的战略资产配置制度体系；</w:t>
            </w:r>
          </w:p>
          <w:p w14:paraId="4A777FF7">
            <w:pPr>
              <w:widowControl/>
              <w:spacing w:before="225"/>
              <w:jc w:val="left"/>
              <w:textAlignment w:val="center"/>
              <w:rPr>
                <w:rFonts w:hint="eastAsia" w:ascii="仿宋_GB2312" w:eastAsia="仿宋_GB2312" w:cs="仿宋_GB2312"/>
                <w:color w:val="000000"/>
                <w:kern w:val="0"/>
                <w:sz w:val="24"/>
                <w:lang w:bidi="ar"/>
              </w:rPr>
            </w:pPr>
            <w:r>
              <w:rPr>
                <w:rFonts w:hint="eastAsia" w:ascii="仿宋_GB2312" w:eastAsia="仿宋_GB2312" w:cs="仿宋_GB2312"/>
                <w:color w:val="000000"/>
                <w:kern w:val="0"/>
                <w:sz w:val="24"/>
                <w:lang w:bidi="ar"/>
              </w:rPr>
              <w:t>2.具有开放的视野和清晰的战略资产配置分析、制定、调整流程；        </w:t>
            </w:r>
          </w:p>
          <w:p w14:paraId="2879C763">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3.能够根据招标人企业年金计划的实际情况、资本市场情况制定科学、合理的受托资产配置方案，能很好的满足企业年金资金保值增值的需求。</w:t>
            </w:r>
          </w:p>
          <w:p w14:paraId="72035C21">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满足以上条件，优秀的得4-5分，良好的得2-3分，一般的得0-1分。</w:t>
            </w:r>
          </w:p>
          <w:p w14:paraId="012088BD">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投标人根据评分细则自行提供相关材料，评审委员会根据材料内容进行评分。未提供相关材料不得分。</w:t>
            </w:r>
          </w:p>
        </w:tc>
      </w:tr>
      <w:tr w14:paraId="7A266F2B">
        <w:tblPrEx>
          <w:tblCellMar>
            <w:top w:w="0" w:type="dxa"/>
            <w:left w:w="0" w:type="dxa"/>
            <w:bottom w:w="0" w:type="dxa"/>
            <w:right w:w="0" w:type="dxa"/>
          </w:tblCellMar>
        </w:tblPrEx>
        <w:trPr>
          <w:cantSplit/>
          <w:trHeight w:val="6110" w:hRule="atLeast"/>
          <w:jc w:val="center"/>
        </w:trPr>
        <w:tc>
          <w:tcPr>
            <w:tcW w:w="1136" w:type="dxa"/>
            <w:vMerge w:val="continue"/>
            <w:tcBorders>
              <w:top w:val="nil"/>
              <w:left w:val="single" w:color="000000" w:sz="8" w:space="0"/>
              <w:bottom w:val="nil"/>
              <w:right w:val="single" w:color="000000" w:sz="8" w:space="0"/>
            </w:tcBorders>
            <w:noWrap w:val="0"/>
            <w:tcMar>
              <w:left w:w="108" w:type="dxa"/>
              <w:right w:w="108" w:type="dxa"/>
            </w:tcMar>
            <w:vAlign w:val="center"/>
          </w:tcPr>
          <w:p w14:paraId="6843D446">
            <w:pPr>
              <w:rPr>
                <w:rFonts w:hint="eastAsia" w:ascii="宋体" w:eastAsia="宋体" w:cs="Times New Roman"/>
                <w:sz w:val="24"/>
              </w:rPr>
            </w:pPr>
          </w:p>
        </w:tc>
        <w:tc>
          <w:tcPr>
            <w:tcW w:w="1120" w:type="dxa"/>
            <w:tcBorders>
              <w:top w:val="nil"/>
              <w:left w:val="nil"/>
              <w:bottom w:val="single" w:color="000000" w:sz="8" w:space="0"/>
              <w:right w:val="single" w:color="000000" w:sz="8" w:space="0"/>
            </w:tcBorders>
            <w:noWrap w:val="0"/>
            <w:tcMar>
              <w:left w:w="108" w:type="dxa"/>
              <w:right w:w="108" w:type="dxa"/>
            </w:tcMar>
            <w:vAlign w:val="center"/>
          </w:tcPr>
          <w:p w14:paraId="70FF8892">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管理人协调</w:t>
            </w:r>
          </w:p>
          <w:p w14:paraId="1B4AC168">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能力</w:t>
            </w:r>
          </w:p>
          <w:p w14:paraId="1007D019">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（5分）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001386B4">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根据投标人企业年金基金账户管理人、托管人和投资管理人信息库建设情况以及选择、配置调整、管理监督与绩效评估方案进行评分：</w:t>
            </w:r>
          </w:p>
          <w:p w14:paraId="0786554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1.拥有全面的账管人、托管人、投管人资料库，熟悉各管理人的特点；</w:t>
            </w:r>
          </w:p>
          <w:p w14:paraId="4E221FE7">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2.具备完善科学的选择、更换、监督和评估账户管理人、托管人、投资管理人的指标体系和监督机制，具有丰富合作经验；</w:t>
            </w:r>
          </w:p>
          <w:p w14:paraId="7CB56F63">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3.有科学的监督工具并应用于投资监督、评估等。</w:t>
            </w:r>
          </w:p>
          <w:p w14:paraId="4D7B357E">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满足以上条件，优秀的得4-5分，良好的得2-3分，一般的得0-1分。                                      </w:t>
            </w:r>
            <w:r>
              <w:rPr>
                <w:rFonts w:eastAsia="宋体" w:cs="Calibri"/>
                <w:color w:val="000000"/>
                <w:kern w:val="0"/>
                <w:sz w:val="24"/>
                <w:lang w:bidi="ar"/>
              </w:rPr>
              <w:t>          </w:t>
            </w:r>
          </w:p>
          <w:p w14:paraId="08704D2B">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投标人根据评分细则自行提供相关材料，评审委员会根据材料内容进行评分。未提供相关材料不得分。</w:t>
            </w:r>
          </w:p>
        </w:tc>
      </w:tr>
      <w:tr w14:paraId="1951DDDC">
        <w:tblPrEx>
          <w:tblCellMar>
            <w:top w:w="0" w:type="dxa"/>
            <w:left w:w="0" w:type="dxa"/>
            <w:bottom w:w="0" w:type="dxa"/>
            <w:right w:w="0" w:type="dxa"/>
          </w:tblCellMar>
        </w:tblPrEx>
        <w:trPr>
          <w:cantSplit/>
          <w:trHeight w:val="4449" w:hRule="atLeast"/>
          <w:jc w:val="center"/>
        </w:trPr>
        <w:tc>
          <w:tcPr>
            <w:tcW w:w="1136" w:type="dxa"/>
            <w:vMerge w:val="restart"/>
            <w:tcBorders>
              <w:top w:val="nil"/>
              <w:left w:val="single" w:color="000000" w:sz="8" w:space="0"/>
              <w:bottom w:val="nil"/>
              <w:right w:val="single" w:color="000000" w:sz="8" w:space="0"/>
            </w:tcBorders>
            <w:noWrap w:val="0"/>
            <w:tcMar>
              <w:left w:w="108" w:type="dxa"/>
              <w:right w:w="108" w:type="dxa"/>
            </w:tcMar>
            <w:vAlign w:val="center"/>
          </w:tcPr>
          <w:p w14:paraId="7F23E961">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受托</w:t>
            </w:r>
          </w:p>
          <w:p w14:paraId="37326A3C">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服务</w:t>
            </w:r>
          </w:p>
          <w:p w14:paraId="357C335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能力</w:t>
            </w:r>
          </w:p>
          <w:p w14:paraId="37FF9927">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（20分）</w:t>
            </w:r>
          </w:p>
        </w:tc>
        <w:tc>
          <w:tcPr>
            <w:tcW w:w="1120" w:type="dxa"/>
            <w:tcBorders>
              <w:top w:val="nil"/>
              <w:left w:val="nil"/>
              <w:bottom w:val="single" w:color="auto" w:sz="8" w:space="0"/>
              <w:right w:val="single" w:color="000000" w:sz="8" w:space="0"/>
            </w:tcBorders>
            <w:noWrap w:val="0"/>
            <w:tcMar>
              <w:left w:w="108" w:type="dxa"/>
              <w:right w:w="108" w:type="dxa"/>
            </w:tcMar>
            <w:vAlign w:val="center"/>
          </w:tcPr>
          <w:p w14:paraId="5D594D7C">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项目</w:t>
            </w:r>
          </w:p>
          <w:p w14:paraId="10DA2C5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服务</w:t>
            </w:r>
          </w:p>
          <w:p w14:paraId="43697B8B">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团队</w:t>
            </w:r>
          </w:p>
          <w:p w14:paraId="15E64065">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（10分）</w:t>
            </w:r>
          </w:p>
        </w:tc>
        <w:tc>
          <w:tcPr>
            <w:tcW w:w="7905" w:type="dxa"/>
            <w:tcBorders>
              <w:top w:val="nil"/>
              <w:left w:val="nil"/>
              <w:bottom w:val="single" w:color="auto" w:sz="8" w:space="0"/>
              <w:right w:val="single" w:color="000000" w:sz="8" w:space="0"/>
            </w:tcBorders>
            <w:noWrap w:val="0"/>
            <w:tcMar>
              <w:left w:w="108" w:type="dxa"/>
              <w:right w:w="108" w:type="dxa"/>
            </w:tcMar>
            <w:vAlign w:val="center"/>
          </w:tcPr>
          <w:p w14:paraId="10231578">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根据项目服务团队配备情况、企业年金服务经验、本地化服务力量等进行评分：</w:t>
            </w:r>
          </w:p>
          <w:p w14:paraId="5F53073D">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1.投标人在安徽省设立省级分公司或相关机构（提供营业执照）；</w:t>
            </w:r>
          </w:p>
          <w:p w14:paraId="4C4ECDD6">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2.为本项目配备专属服务团队，团队人员分工明确，具有丰富的年金管理经验，能够为客户提供及时、高效、个性化的服务（提供项目人员配备清单）；  </w:t>
            </w:r>
          </w:p>
          <w:p w14:paraId="320117E5">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3.在本项目属地(合肥市)至少配备6人(含)以上经验丰富、人员稳定的专属服务团队（提供近3个月内任意1个月社保缴纳证明）。  </w:t>
            </w:r>
          </w:p>
          <w:p w14:paraId="664DB934">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满足以上条件，优秀的得9-10分，良好的得7-8分，一般的得5-6分。                                 </w:t>
            </w:r>
          </w:p>
          <w:p w14:paraId="3543EFE6">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未提供相关材料不得分。</w:t>
            </w:r>
          </w:p>
        </w:tc>
      </w:tr>
      <w:tr w14:paraId="5B36A420">
        <w:tblPrEx>
          <w:tblCellMar>
            <w:top w:w="0" w:type="dxa"/>
            <w:left w:w="0" w:type="dxa"/>
            <w:bottom w:w="0" w:type="dxa"/>
            <w:right w:w="0" w:type="dxa"/>
          </w:tblCellMar>
        </w:tblPrEx>
        <w:trPr>
          <w:cantSplit/>
          <w:trHeight w:val="5568" w:hRule="atLeast"/>
          <w:jc w:val="center"/>
        </w:trPr>
        <w:tc>
          <w:tcPr>
            <w:tcW w:w="1136" w:type="dxa"/>
            <w:vMerge w:val="continue"/>
            <w:tcBorders>
              <w:top w:val="nil"/>
              <w:left w:val="single" w:color="000000" w:sz="8" w:space="0"/>
              <w:bottom w:val="nil"/>
              <w:right w:val="single" w:color="000000" w:sz="8" w:space="0"/>
            </w:tcBorders>
            <w:noWrap w:val="0"/>
            <w:tcMar>
              <w:left w:w="108" w:type="dxa"/>
              <w:right w:w="108" w:type="dxa"/>
            </w:tcMar>
            <w:vAlign w:val="center"/>
          </w:tcPr>
          <w:p w14:paraId="6BA437D4">
            <w:pPr>
              <w:rPr>
                <w:rFonts w:hint="eastAsia" w:ascii="宋体" w:eastAsia="宋体" w:cs="Times New Roman"/>
                <w:sz w:val="24"/>
              </w:rPr>
            </w:pPr>
          </w:p>
        </w:tc>
        <w:tc>
          <w:tcPr>
            <w:tcW w:w="1120" w:type="dxa"/>
            <w:tcBorders>
              <w:top w:val="nil"/>
              <w:left w:val="nil"/>
              <w:bottom w:val="nil"/>
              <w:right w:val="single" w:color="000000" w:sz="8" w:space="0"/>
            </w:tcBorders>
            <w:noWrap w:val="0"/>
            <w:tcMar>
              <w:left w:w="108" w:type="dxa"/>
              <w:right w:w="108" w:type="dxa"/>
            </w:tcMar>
            <w:vAlign w:val="center"/>
          </w:tcPr>
          <w:p w14:paraId="75C197F5">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年金</w:t>
            </w:r>
          </w:p>
          <w:p w14:paraId="7A28E4CD">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计划</w:t>
            </w:r>
          </w:p>
          <w:p w14:paraId="4C1CFAEF">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服务</w:t>
            </w:r>
          </w:p>
          <w:p w14:paraId="1088726A">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方案</w:t>
            </w:r>
          </w:p>
          <w:p w14:paraId="4D298718">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（10分）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21D19B13">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根据投标人针对招标人企业年金基金建立的整体推进计划、企业年金基金的服务方案、服务系统、推荐的集合计划及增值服务方案进行综合评分：</w:t>
            </w:r>
          </w:p>
          <w:p w14:paraId="03998655">
            <w:pPr>
              <w:widowControl/>
              <w:spacing w:before="225"/>
              <w:jc w:val="left"/>
              <w:textAlignment w:val="center"/>
              <w:rPr>
                <w:rFonts w:eastAsia="宋体" w:cs="Times New Roman"/>
              </w:rPr>
            </w:pPr>
            <w:r>
              <w:rPr>
                <w:rFonts w:eastAsia="宋体" w:cs="Calibri"/>
                <w:color w:val="000000"/>
                <w:kern w:val="0"/>
                <w:sz w:val="24"/>
                <w:lang w:bidi="ar"/>
              </w:rPr>
              <w:t>1.</w:t>
            </w:r>
            <w:r>
              <w:rPr>
                <w:rFonts w:hint="eastAsia" w:ascii="仿宋_GB2312" w:eastAsia="仿宋_GB2312" w:cs="仿宋_GB2312"/>
                <w:color w:val="000000"/>
                <w:kern w:val="0"/>
                <w:sz w:val="24"/>
                <w:lang w:bidi="ar"/>
              </w:rPr>
              <w:t>企业年金方案制订、方案报备、年金计划建立阶段各项服务符合招标人实际需求；</w:t>
            </w:r>
          </w:p>
          <w:p w14:paraId="3FC329D7">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2.推荐的集合计划固定收益类组合（不超过3个）符合招标人实际需求，其他管理人收费合理、有竞争力；</w:t>
            </w:r>
          </w:p>
          <w:p w14:paraId="28F325B4">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3.年金服务平台、提供的经办服务、面向员工的查询渠道、信息披露报告安全、便捷、丰富、高效；</w:t>
            </w:r>
          </w:p>
          <w:p w14:paraId="32E0D9A4">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4.年金计划服务方案整体科学合理、针对性强、可操作性强，合同期内可灵活支持集合计划内组合的调整和转换；</w:t>
            </w:r>
          </w:p>
          <w:p w14:paraId="66844384">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5.增值服务方案内容丰富且适用。</w:t>
            </w:r>
          </w:p>
          <w:p w14:paraId="7C7637A0">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满足以上条件，优秀的得9-10分，良好的得7-8分，一般的得5-6分。</w:t>
            </w:r>
          </w:p>
          <w:p w14:paraId="28D74262">
            <w:pPr>
              <w:widowControl/>
              <w:spacing w:before="225"/>
              <w:jc w:val="left"/>
              <w:textAlignment w:val="center"/>
              <w:rPr>
                <w:rFonts w:eastAsia="宋体" w:cs="Times New Roman"/>
              </w:rPr>
            </w:pPr>
            <w:r>
              <w:rPr>
                <w:rFonts w:hint="eastAsia" w:ascii="仿宋_GB2312" w:eastAsia="仿宋_GB2312" w:cs="仿宋_GB2312"/>
                <w:color w:val="000000"/>
                <w:kern w:val="0"/>
                <w:sz w:val="24"/>
                <w:lang w:bidi="ar"/>
              </w:rPr>
              <w:t>投标人根据评分细则自行提供相关材料，评审委员会根据材料内容进行评分。未提供相关材料不得分。</w:t>
            </w:r>
          </w:p>
        </w:tc>
      </w:tr>
    </w:tbl>
    <w:p w14:paraId="06CB6F7F">
      <w:pPr>
        <w:widowControl/>
        <w:spacing w:before="225"/>
        <w:jc w:val="center"/>
        <w:textAlignment w:val="center"/>
        <w:rPr>
          <w:rFonts w:hint="eastAsia" w:ascii="仿宋_GB2312" w:eastAsia="仿宋_GB2312" w:cs="仿宋_GB2312"/>
          <w:color w:val="000000"/>
          <w:kern w:val="0"/>
          <w:sz w:val="24"/>
          <w:lang w:bidi="ar"/>
        </w:rPr>
        <w:sectPr>
          <w:pgSz w:w="11906" w:h="16838"/>
          <w:pgMar w:top="720" w:right="720" w:bottom="720" w:left="720" w:header="851" w:footer="992" w:gutter="0"/>
          <w:cols w:space="720" w:num="1"/>
          <w:docGrid w:type="lines" w:linePitch="312" w:charSpace="0"/>
        </w:sectPr>
      </w:pPr>
    </w:p>
    <w:tbl>
      <w:tblPr>
        <w:tblStyle w:val="3"/>
        <w:tblW w:w="10161" w:type="dxa"/>
        <w:jc w:val="center"/>
        <w:tblLayout w:type="autofit"/>
        <w:tblCellMar>
          <w:top w:w="0" w:type="dxa"/>
          <w:left w:w="0" w:type="dxa"/>
          <w:bottom w:w="0" w:type="dxa"/>
          <w:right w:w="0" w:type="dxa"/>
        </w:tblCellMar>
      </w:tblPr>
      <w:tblGrid>
        <w:gridCol w:w="1136"/>
        <w:gridCol w:w="1120"/>
        <w:gridCol w:w="7905"/>
      </w:tblGrid>
      <w:tr w14:paraId="2A1A588A">
        <w:tblPrEx>
          <w:tblCellMar>
            <w:top w:w="0" w:type="dxa"/>
            <w:left w:w="0" w:type="dxa"/>
            <w:bottom w:w="0" w:type="dxa"/>
            <w:right w:w="0" w:type="dxa"/>
          </w:tblCellMar>
        </w:tblPrEx>
        <w:trPr>
          <w:cantSplit/>
          <w:trHeight w:val="2335" w:hRule="atLeast"/>
          <w:jc w:val="center"/>
        </w:trPr>
        <w:tc>
          <w:tcPr>
            <w:tcW w:w="1136" w:type="dxa"/>
            <w:tcBorders>
              <w:top w:val="single" w:color="auto" w:sz="8" w:space="0"/>
              <w:left w:val="single" w:color="000000" w:sz="8" w:space="0"/>
              <w:bottom w:val="single" w:color="000000" w:sz="8" w:space="0"/>
              <w:right w:val="single" w:color="000000" w:sz="8" w:space="0"/>
            </w:tcBorders>
            <w:noWrap w:val="0"/>
            <w:tcMar>
              <w:left w:w="108" w:type="dxa"/>
              <w:right w:w="108" w:type="dxa"/>
            </w:tcMar>
            <w:vAlign w:val="center"/>
          </w:tcPr>
          <w:p w14:paraId="154229EF">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报价</w:t>
            </w:r>
          </w:p>
          <w:p w14:paraId="56FA3D50">
            <w:pPr>
              <w:widowControl/>
              <w:spacing w:before="225"/>
              <w:jc w:val="center"/>
              <w:textAlignment w:val="center"/>
              <w:rPr>
                <w:rFonts w:eastAsia="宋体" w:cs="Times New Roman"/>
              </w:rPr>
            </w:pPr>
            <w:r>
              <w:rPr>
                <w:rFonts w:hint="eastAsia" w:ascii="仿宋_GB2312" w:eastAsia="仿宋_GB2312" w:cs="仿宋_GB2312"/>
                <w:color w:val="000000"/>
                <w:kern w:val="0"/>
                <w:sz w:val="24"/>
                <w:lang w:bidi="ar"/>
              </w:rPr>
              <w:t>（10分）</w:t>
            </w:r>
          </w:p>
        </w:tc>
        <w:tc>
          <w:tcPr>
            <w:tcW w:w="1120" w:type="dxa"/>
            <w:tcBorders>
              <w:top w:val="single" w:color="000000" w:sz="8" w:space="0"/>
              <w:left w:val="nil"/>
              <w:bottom w:val="single" w:color="000000" w:sz="8" w:space="0"/>
              <w:right w:val="single" w:color="000000" w:sz="8" w:space="0"/>
            </w:tcBorders>
            <w:noWrap w:val="0"/>
            <w:tcMar>
              <w:left w:w="108" w:type="dxa"/>
              <w:right w:w="108" w:type="dxa"/>
            </w:tcMar>
            <w:vAlign w:val="center"/>
          </w:tcPr>
          <w:p w14:paraId="00A2C4A0">
            <w:pPr>
              <w:widowControl/>
              <w:spacing w:before="225"/>
              <w:textAlignment w:val="center"/>
              <w:rPr>
                <w:rFonts w:eastAsia="宋体" w:cs="Times New Roman"/>
                <w:highlight w:val="yellow"/>
              </w:rPr>
            </w:pPr>
          </w:p>
          <w:p w14:paraId="54FC61FC">
            <w:pPr>
              <w:widowControl/>
              <w:spacing w:before="225"/>
              <w:jc w:val="center"/>
              <w:textAlignment w:val="center"/>
              <w:rPr>
                <w:rFonts w:hint="eastAsia" w:ascii="仿宋_GB2312" w:eastAsia="仿宋_GB2312" w:cs="仿宋_GB2312"/>
                <w:color w:val="000000"/>
                <w:kern w:val="0"/>
                <w:sz w:val="24"/>
                <w:lang w:bidi="ar"/>
              </w:rPr>
            </w:pPr>
            <w:r>
              <w:rPr>
                <w:rFonts w:hint="eastAsia" w:ascii="仿宋_GB2312" w:eastAsia="仿宋_GB2312" w:cs="仿宋_GB2312"/>
                <w:color w:val="000000"/>
                <w:kern w:val="0"/>
                <w:sz w:val="24"/>
                <w:lang w:val="en-US" w:eastAsia="zh-CN" w:bidi="ar"/>
              </w:rPr>
              <w:t>受托管理费</w:t>
            </w:r>
            <w:r>
              <w:rPr>
                <w:rFonts w:hint="eastAsia" w:ascii="仿宋_GB2312" w:eastAsia="仿宋_GB2312" w:cs="仿宋_GB2312"/>
                <w:color w:val="000000"/>
                <w:kern w:val="0"/>
                <w:sz w:val="24"/>
                <w:lang w:bidi="ar"/>
              </w:rPr>
              <w:t>报价</w:t>
            </w:r>
          </w:p>
          <w:p w14:paraId="4163580D">
            <w:pPr>
              <w:widowControl/>
              <w:spacing w:before="225"/>
              <w:jc w:val="center"/>
              <w:textAlignment w:val="center"/>
              <w:rPr>
                <w:rFonts w:eastAsia="宋体" w:cs="Times New Roman"/>
                <w:highlight w:val="yellow"/>
              </w:rPr>
            </w:pPr>
            <w:r>
              <w:rPr>
                <w:rFonts w:hint="eastAsia" w:ascii="仿宋_GB2312" w:eastAsia="仿宋_GB2312" w:cs="仿宋_GB2312"/>
                <w:color w:val="000000"/>
                <w:kern w:val="0"/>
                <w:sz w:val="24"/>
                <w:lang w:bidi="ar"/>
              </w:rPr>
              <w:t>（10分）</w:t>
            </w:r>
          </w:p>
        </w:tc>
        <w:tc>
          <w:tcPr>
            <w:tcW w:w="7905" w:type="dxa"/>
            <w:tcBorders>
              <w:top w:val="nil"/>
              <w:left w:val="nil"/>
              <w:bottom w:val="single" w:color="000000" w:sz="8" w:space="0"/>
              <w:right w:val="single" w:color="000000" w:sz="8" w:space="0"/>
            </w:tcBorders>
            <w:noWrap w:val="0"/>
            <w:tcMar>
              <w:left w:w="108" w:type="dxa"/>
              <w:right w:w="108" w:type="dxa"/>
            </w:tcMar>
            <w:vAlign w:val="center"/>
          </w:tcPr>
          <w:p w14:paraId="05F91F0E">
            <w:pPr>
              <w:widowControl/>
              <w:spacing w:before="225"/>
              <w:jc w:val="left"/>
              <w:textAlignment w:val="center"/>
              <w:rPr>
                <w:rFonts w:eastAsia="宋体" w:cs="Times New Roman"/>
                <w:highlight w:val="yellow"/>
              </w:rPr>
            </w:pPr>
            <w:r>
              <w:rPr>
                <w:rFonts w:hint="eastAsia" w:ascii="仿宋_GB2312" w:eastAsia="仿宋_GB2312" w:cs="仿宋_GB2312"/>
                <w:color w:val="000000"/>
                <w:kern w:val="0"/>
                <w:sz w:val="24"/>
                <w:lang w:bidi="ar"/>
              </w:rPr>
              <w:t>投标报价不可以是浮动报价或者区间报价。采用最低价减法方式，即各投标人受托管理费报价最低价为评标基准价，其价格为满分，按排名扣分，每递减一名扣0.5分，扣至0分为止。</w:t>
            </w:r>
          </w:p>
        </w:tc>
      </w:tr>
    </w:tbl>
    <w:p w14:paraId="0036E60E">
      <w:pPr>
        <w:pStyle w:val="2"/>
        <w:widowControl/>
        <w:spacing w:before="0" w:beforeAutospacing="0" w:after="0" w:afterAutospacing="0" w:line="580" w:lineRule="atLeast"/>
        <w:rPr>
          <w:rFonts w:eastAsia="宋体" w:cs="Times New Roman"/>
        </w:rPr>
      </w:pPr>
      <w:r>
        <w:rPr>
          <w:rFonts w:hint="eastAsia" w:ascii="微软雅黑" w:hAnsi="微软雅黑" w:eastAsia="微软雅黑" w:cs="微软雅黑"/>
          <w:b/>
          <w:bCs/>
          <w:color w:val="000000"/>
          <w:sz w:val="32"/>
          <w:szCs w:val="32"/>
          <w:shd w:val="clear" w:color="auto" w:fill="FFFFFF"/>
        </w:rPr>
        <w:t> </w:t>
      </w:r>
    </w:p>
    <w:p w14:paraId="16C35ED3">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73E8EF42">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7B8D219F">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77E43801">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6B959D85">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19B73E7B">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358C1EE3">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1D4F3878">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588EA658">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79AE7F59">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2A3E7929">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71A17070">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5A44DEB7">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63B7CF87">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0374C766">
      <w:pPr>
        <w:pStyle w:val="2"/>
        <w:widowControl/>
        <w:spacing w:before="0" w:beforeAutospacing="0" w:after="0" w:afterAutospacing="0" w:line="580" w:lineRule="atLeast"/>
        <w:rPr>
          <w:rFonts w:hint="eastAsia" w:ascii="宋体" w:hAnsi="宋体" w:eastAsia="宋体" w:cs="宋体"/>
          <w:b/>
          <w:bCs/>
          <w:color w:val="000000"/>
          <w:sz w:val="32"/>
          <w:szCs w:val="32"/>
          <w:shd w:val="clear" w:color="auto" w:fill="FFFFFF"/>
        </w:rPr>
      </w:pPr>
    </w:p>
    <w:p w14:paraId="16E67DD2">
      <w:pPr>
        <w:pStyle w:val="2"/>
        <w:widowControl/>
        <w:spacing w:before="0" w:beforeAutospacing="0" w:after="0" w:afterAutospacing="0" w:line="580" w:lineRule="atLeast"/>
        <w:rPr>
          <w:rFonts w:hint="eastAsia" w:ascii="黑体" w:hAnsi="黑体" w:eastAsia="黑体" w:cs="黑体"/>
          <w:b w:val="0"/>
          <w:bCs w:val="0"/>
        </w:rPr>
      </w:pPr>
      <w:r>
        <w:rPr>
          <w:rFonts w:hint="eastAsia" w:ascii="黑体" w:hAnsi="黑体" w:eastAsia="黑体" w:cs="黑体"/>
          <w:b w:val="0"/>
          <w:bCs w:val="0"/>
          <w:color w:val="000000"/>
          <w:sz w:val="32"/>
          <w:szCs w:val="32"/>
          <w:shd w:val="clear" w:color="auto" w:fill="FFFFFF"/>
        </w:rPr>
        <w:t>附件4</w:t>
      </w:r>
    </w:p>
    <w:p w14:paraId="0BE5F021">
      <w:pPr>
        <w:pStyle w:val="2"/>
        <w:keepNext w:val="0"/>
        <w:keepLines w:val="0"/>
        <w:pageBreakBefore w:val="0"/>
        <w:widowControl/>
        <w:kinsoku/>
        <w:wordWrap/>
        <w:overflowPunct/>
        <w:topLinePunct w:val="0"/>
        <w:autoSpaceDE/>
        <w:autoSpaceDN/>
        <w:bidi w:val="0"/>
        <w:adjustRightInd/>
        <w:snapToGrid/>
        <w:spacing w:before="225" w:beforeAutospacing="0" w:after="0" w:afterAutospacing="0" w:line="560" w:lineRule="exact"/>
        <w:jc w:val="center"/>
        <w:textAlignment w:val="auto"/>
        <w:rPr>
          <w:rFonts w:hint="eastAsia" w:ascii="宋体" w:hAnsi="宋体" w:eastAsia="宋体" w:cs="宋体"/>
        </w:rPr>
      </w:pPr>
      <w:r>
        <w:rPr>
          <w:rFonts w:hint="eastAsia" w:ascii="方正小标宋简体" w:hAnsi="方正小标宋简体" w:eastAsia="方正小标宋简体" w:cs="方正小标宋简体"/>
          <w:b w:val="0"/>
          <w:bCs w:val="0"/>
          <w:color w:val="454545"/>
          <w:sz w:val="44"/>
          <w:szCs w:val="44"/>
          <w:shd w:val="clear" w:color="auto" w:fill="FFFFFF"/>
        </w:rPr>
        <w:t>合规经营情况承诺</w:t>
      </w:r>
    </w:p>
    <w:p w14:paraId="2DE17E08">
      <w:pPr>
        <w:pStyle w:val="2"/>
        <w:keepNext w:val="0"/>
        <w:keepLines w:val="0"/>
        <w:pageBreakBefore w:val="0"/>
        <w:widowControl/>
        <w:kinsoku/>
        <w:wordWrap/>
        <w:overflowPunct/>
        <w:topLinePunct w:val="0"/>
        <w:autoSpaceDE/>
        <w:autoSpaceDN/>
        <w:bidi w:val="0"/>
        <w:adjustRightInd/>
        <w:snapToGrid/>
        <w:spacing w:before="225" w:beforeAutospacing="0" w:after="0" w:afterAutospacing="0" w:line="56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（投标人可根据自身实际调整承诺书内容）</w:t>
      </w:r>
    </w:p>
    <w:p w14:paraId="21571EB9">
      <w:pPr>
        <w:pStyle w:val="2"/>
        <w:keepNext w:val="0"/>
        <w:keepLines w:val="0"/>
        <w:pageBreakBefore w:val="0"/>
        <w:widowControl/>
        <w:kinsoku/>
        <w:wordWrap/>
        <w:overflowPunct/>
        <w:topLinePunct w:val="0"/>
        <w:autoSpaceDE/>
        <w:autoSpaceDN/>
        <w:bidi w:val="0"/>
        <w:adjustRightInd/>
        <w:snapToGrid/>
        <w:spacing w:before="225"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54545"/>
          <w:sz w:val="32"/>
          <w:szCs w:val="32"/>
          <w:shd w:val="clear" w:color="auto" w:fill="FFFFFF"/>
        </w:rPr>
        <w:t> </w:t>
      </w:r>
    </w:p>
    <w:p w14:paraId="2F1C8BB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安徽省水电有限责任公司：</w:t>
      </w:r>
    </w:p>
    <w:p w14:paraId="18574F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我公司现参加安徽省水电有限责任公司企业年金受托管理项目。我公司向贵单位郑重声明如下：</w:t>
      </w:r>
    </w:p>
    <w:p w14:paraId="273745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自成立至今，严格按照法律、法规合规经营，无重大违法违规行为，公司高级管理人员、企业年金业务近3年均未受到监管部门（证监会、银保监会、审计、人力资源和社会保障部、财政等监管部门）或执法部门的处罚及通报批评。</w:t>
      </w:r>
    </w:p>
    <w:p w14:paraId="1DF106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34C45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694BF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投标人（公章或业务合同专用章）：</w:t>
      </w:r>
    </w:p>
    <w:p w14:paraId="56C2132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F0E71E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法定代表人（签字）：      年    月    日</w:t>
      </w:r>
    </w:p>
    <w:p w14:paraId="547859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7930BF">
      <w:pPr>
        <w:spacing w:before="181" w:line="220" w:lineRule="auto"/>
        <w:jc w:val="left"/>
        <w:rPr>
          <w:rFonts w:hint="eastAsia" w:ascii="黑体" w:hAnsi="黑体" w:eastAsia="黑体" w:cs="黑体"/>
          <w:b w:val="0"/>
          <w:bCs w:val="0"/>
          <w:color w:val="000000"/>
          <w:kern w:val="0"/>
          <w:sz w:val="32"/>
          <w:szCs w:val="32"/>
          <w:shd w:val="clear" w:color="auto" w:fill="FFFFFF"/>
          <w:lang w:val="en-US" w:eastAsia="zh-CN" w:bidi="ar"/>
        </w:rPr>
      </w:pPr>
    </w:p>
    <w:p w14:paraId="5C311860">
      <w:pPr>
        <w:spacing w:before="181" w:line="220" w:lineRule="auto"/>
        <w:jc w:val="left"/>
        <w:rPr>
          <w:rFonts w:hint="eastAsia" w:ascii="黑体" w:hAnsi="黑体" w:eastAsia="黑体" w:cs="黑体"/>
          <w:b w:val="0"/>
          <w:bCs w:val="0"/>
          <w:color w:val="000000"/>
          <w:kern w:val="0"/>
          <w:sz w:val="32"/>
          <w:szCs w:val="32"/>
          <w:shd w:val="clear" w:color="auto" w:fill="FFFFFF"/>
          <w:lang w:val="en-US" w:eastAsia="zh-CN" w:bidi="ar"/>
        </w:rPr>
      </w:pPr>
    </w:p>
    <w:p w14:paraId="5F3700A2">
      <w:pPr>
        <w:spacing w:before="181" w:line="220" w:lineRule="auto"/>
        <w:jc w:val="left"/>
        <w:rPr>
          <w:rFonts w:hint="eastAsia" w:ascii="黑体" w:hAnsi="黑体" w:eastAsia="黑体" w:cs="黑体"/>
          <w:b w:val="0"/>
          <w:bCs w:val="0"/>
          <w:color w:val="000000"/>
          <w:kern w:val="0"/>
          <w:sz w:val="32"/>
          <w:szCs w:val="32"/>
          <w:shd w:val="clear" w:color="auto" w:fill="FFFFFF"/>
          <w:lang w:val="en-US" w:eastAsia="zh-CN" w:bidi="ar"/>
        </w:rPr>
      </w:pPr>
    </w:p>
    <w:p w14:paraId="589F0A7B">
      <w:pPr>
        <w:spacing w:before="181" w:line="220" w:lineRule="auto"/>
        <w:jc w:val="left"/>
        <w:rPr>
          <w:rFonts w:hint="eastAsia" w:ascii="黑体" w:hAnsi="黑体" w:eastAsia="黑体" w:cs="黑体"/>
          <w:b w:val="0"/>
          <w:bCs w:val="0"/>
          <w:color w:val="000000"/>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000000"/>
          <w:kern w:val="0"/>
          <w:sz w:val="32"/>
          <w:szCs w:val="32"/>
          <w:shd w:val="clear" w:color="auto" w:fill="FFFFFF"/>
          <w:lang w:val="en-US" w:eastAsia="zh-CN" w:bidi="ar"/>
        </w:rPr>
        <w:t>附件5</w:t>
      </w:r>
    </w:p>
    <w:p w14:paraId="66F45B2D">
      <w:pPr>
        <w:widowControl/>
        <w:spacing w:before="225" w:line="23" w:lineRule="atLeast"/>
        <w:ind w:firstLine="640"/>
        <w:jc w:val="center"/>
        <w:rPr>
          <w:rFonts w:hint="eastAsia" w:ascii="方正小标宋简体" w:hAnsi="方正小标宋简体" w:eastAsia="方正小标宋简体" w:cs="方正小标宋简体"/>
          <w:color w:val="454545"/>
          <w:kern w:val="0"/>
          <w:sz w:val="44"/>
          <w:szCs w:val="44"/>
          <w:shd w:val="clear" w:color="auto" w:fill="FFFFFF"/>
          <w:lang w:bidi="ar"/>
        </w:rPr>
      </w:pPr>
      <w:r>
        <w:rPr>
          <w:rFonts w:hint="eastAsia" w:ascii="方正小标宋简体" w:hAnsi="方正小标宋简体" w:eastAsia="方正小标宋简体" w:cs="方正小标宋简体"/>
          <w:color w:val="454545"/>
          <w:kern w:val="0"/>
          <w:sz w:val="44"/>
          <w:szCs w:val="44"/>
          <w:shd w:val="clear" w:color="auto" w:fill="FFFFFF"/>
          <w:lang w:bidi="ar"/>
        </w:rPr>
        <w:t>无重大违法、不良信用记录声明函</w:t>
      </w:r>
    </w:p>
    <w:p w14:paraId="6127EC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本单位郑重声明，我单位无以下重大违法、不良信用记录情形</w:t>
      </w:r>
      <w:r>
        <w:rPr>
          <w:rFonts w:hint="eastAsia" w:ascii="仿宋_GB2312" w:hAnsi="仿宋_GB2312" w:eastAsia="仿宋_GB2312" w:cs="仿宋_GB2312"/>
          <w:sz w:val="32"/>
          <w:szCs w:val="32"/>
          <w:lang w:eastAsia="zh-CN"/>
        </w:rPr>
        <w:t>：</w:t>
      </w:r>
    </w:p>
    <w:p w14:paraId="2156DD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（1）在信用中国官网（www.creditchina.gov.cn）中</w:t>
      </w: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val="en-US" w:eastAsia="zh-CN"/>
        </w:rPr>
        <w:t>人民法院列入失信被执行人的</w:t>
      </w:r>
      <w:r>
        <w:rPr>
          <w:rFonts w:hint="eastAsia" w:ascii="仿宋_GB2312" w:hAnsi="仿宋_GB2312" w:eastAsia="仿宋_GB2312" w:cs="仿宋_GB2312"/>
          <w:sz w:val="32"/>
          <w:szCs w:val="32"/>
        </w:rPr>
        <w:t>；</w:t>
      </w:r>
    </w:p>
    <w:p w14:paraId="755162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（2）在信用中国官网（www.creditchina.gov.cn）中被市场监督管理部门列入严重违法失信企业名单的</w:t>
      </w:r>
      <w:r>
        <w:rPr>
          <w:rFonts w:hint="eastAsia" w:ascii="仿宋_GB2312" w:hAnsi="仿宋_GB2312" w:eastAsia="仿宋_GB2312" w:cs="仿宋_GB2312"/>
          <w:sz w:val="32"/>
          <w:szCs w:val="32"/>
        </w:rPr>
        <w:t>；</w:t>
      </w:r>
    </w:p>
    <w:p w14:paraId="20A440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（3）在信用中国官网（www.creditchina.gov.cn）中被税务部门列入重大税收违法案件当事人名单的</w:t>
      </w:r>
      <w:r>
        <w:rPr>
          <w:rFonts w:hint="eastAsia" w:ascii="仿宋_GB2312" w:hAnsi="仿宋_GB2312" w:eastAsia="仿宋_GB2312" w:cs="仿宋_GB2312"/>
          <w:sz w:val="32"/>
          <w:szCs w:val="32"/>
        </w:rPr>
        <w:t>；</w:t>
      </w:r>
    </w:p>
    <w:p w14:paraId="1668F2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（4）在</w:t>
      </w:r>
      <w:r>
        <w:rPr>
          <w:rFonts w:hint="eastAsia" w:ascii="仿宋_GB2312" w:hAnsi="仿宋_GB2312" w:eastAsia="仿宋_GB2312" w:cs="仿宋_GB2312"/>
          <w:sz w:val="32"/>
          <w:szCs w:val="32"/>
          <w:lang w:val="en-US" w:eastAsia="zh-CN"/>
        </w:rPr>
        <w:t>中国政府采购官网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www.ccgp.gov.cn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中被政府采购监管部门列入政府采购严重违法失信行为信息记录名单的。 </w:t>
      </w:r>
    </w:p>
    <w:p w14:paraId="6AF674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14:paraId="673970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C881D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投标人（公章或业务合同专用章）：             </w:t>
      </w:r>
    </w:p>
    <w:p w14:paraId="251D16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165675">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 ：</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color w:val="454545"/>
          <w:kern w:val="0"/>
          <w:sz w:val="32"/>
          <w:szCs w:val="32"/>
          <w:shd w:val="clear" w:color="auto" w:fill="FFFFFF"/>
          <w:lang w:bidi="ar"/>
        </w:rPr>
        <w:t xml:space="preserve"> </w:t>
      </w:r>
    </w:p>
    <w:p w14:paraId="43975A36"/>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7123">
    <w:pPr>
      <w:spacing w:line="218" w:lineRule="auto"/>
      <w:ind w:left="3305"/>
      <w:rPr>
        <w:rFonts w:ascii="宋体" w:hAnsi="宋体" w:eastAsia="宋体" w:cs="宋体"/>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MmY0MjQ3MmU4MDNmYzE1NzExNjZjOTNkNjhlYTUifQ=="/>
  </w:docVars>
  <w:rsids>
    <w:rsidRoot w:val="00000000"/>
    <w:rsid w:val="BFFD2A16"/>
    <w:rsid w:val="D6F173B0"/>
    <w:rsid w:val="FD77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21</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2025-04-23T22:40:00Z</dcterms:created>
  <dc:creator> </dc:creator>
  <cp:lastModifiedBy> </cp:lastModifiedBy>
  <dcterms:modified xsi:type="dcterms:W3CDTF">2025-04-23T15:06:27Z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FBFB3F72E1A57AD3AC8F0868673CAF28_43</vt:lpwstr>
  </property>
</Properties>
</file>